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B" w:rsidRDefault="009D334B">
      <w:pPr>
        <w:spacing w:line="579" w:lineRule="exact"/>
        <w:rPr>
          <w:rFonts w:ascii="黑体" w:eastAsia="黑体" w:hAnsi="黑体" w:cs="黑体"/>
          <w:sz w:val="32"/>
          <w:szCs w:val="32"/>
        </w:rPr>
      </w:pPr>
    </w:p>
    <w:p w:rsidR="009D334B" w:rsidRDefault="00B465CE">
      <w:pPr>
        <w:spacing w:line="579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202</w:t>
      </w:r>
      <w:r>
        <w:rPr>
          <w:rFonts w:ascii="宋体" w:hAnsi="宋体" w:hint="eastAsia"/>
          <w:b/>
          <w:sz w:val="44"/>
          <w:szCs w:val="44"/>
        </w:rPr>
        <w:t>6</w:t>
      </w:r>
      <w:r>
        <w:rPr>
          <w:rFonts w:ascii="宋体" w:hAnsi="宋体" w:hint="eastAsia"/>
          <w:b/>
          <w:sz w:val="44"/>
          <w:szCs w:val="44"/>
        </w:rPr>
        <w:t>年度沈阳市教育科学规划</w:t>
      </w:r>
    </w:p>
    <w:p w:rsidR="009D334B" w:rsidRDefault="00B465CE">
      <w:pPr>
        <w:spacing w:line="579" w:lineRule="exact"/>
        <w:jc w:val="center"/>
        <w:rPr>
          <w:rFonts w:ascii="仿宋_GB2312" w:eastAsia="仿宋_GB2312" w:hAnsi="仿宋_GB2312" w:cs="仿宋_GB2312"/>
          <w:bCs/>
          <w:sz w:val="44"/>
          <w:szCs w:val="44"/>
        </w:rPr>
      </w:pPr>
      <w:proofErr w:type="gramStart"/>
      <w:r>
        <w:rPr>
          <w:rFonts w:ascii="宋体" w:hAnsi="宋体" w:hint="eastAsia"/>
          <w:b/>
          <w:sz w:val="44"/>
          <w:szCs w:val="44"/>
        </w:rPr>
        <w:t>党建专项</w:t>
      </w:r>
      <w:proofErr w:type="gramEnd"/>
      <w:r>
        <w:rPr>
          <w:rFonts w:ascii="宋体" w:hAnsi="宋体" w:hint="eastAsia"/>
          <w:b/>
          <w:sz w:val="44"/>
          <w:szCs w:val="44"/>
        </w:rPr>
        <w:t>课题选题指南</w:t>
      </w:r>
    </w:p>
    <w:p w:rsidR="009D334B" w:rsidRDefault="009D334B">
      <w:pPr>
        <w:spacing w:line="580" w:lineRule="exact"/>
        <w:rPr>
          <w:rFonts w:ascii="仿宋_GB2312" w:eastAsia="仿宋_GB2312" w:hAnsi="仿宋" w:cs="仿宋_GB2312"/>
          <w:sz w:val="36"/>
          <w:szCs w:val="36"/>
        </w:rPr>
      </w:pP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教育强国建设背景下</w:t>
      </w:r>
      <w:r>
        <w:rPr>
          <w:rFonts w:ascii="仿宋_GB2312" w:eastAsia="仿宋_GB2312" w:hint="eastAsia"/>
          <w:sz w:val="32"/>
          <w:szCs w:val="32"/>
        </w:rPr>
        <w:t>党建引领教育高质量发展研究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深化</w:t>
      </w:r>
      <w:r>
        <w:rPr>
          <w:rFonts w:ascii="仿宋_GB2312" w:eastAsia="仿宋_GB2312" w:hint="eastAsia"/>
          <w:sz w:val="32"/>
          <w:szCs w:val="32"/>
        </w:rPr>
        <w:t>中小学校党组织领导的校长负责制</w:t>
      </w:r>
      <w:r>
        <w:rPr>
          <w:rFonts w:ascii="仿宋_GB2312" w:eastAsia="仿宋_GB2312" w:hint="eastAsia"/>
          <w:sz w:val="32"/>
          <w:szCs w:val="32"/>
        </w:rPr>
        <w:t>实践</w:t>
      </w:r>
      <w:r>
        <w:rPr>
          <w:rFonts w:ascii="仿宋_GB2312" w:eastAsia="仿宋_GB2312" w:hint="eastAsia"/>
          <w:sz w:val="32"/>
          <w:szCs w:val="32"/>
        </w:rPr>
        <w:t>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基于民主集中制的中小学校议事规则实践研究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大</w:t>
      </w:r>
      <w:proofErr w:type="gramStart"/>
      <w:r>
        <w:rPr>
          <w:rFonts w:ascii="仿宋_GB2312" w:eastAsia="仿宋_GB2312" w:hint="eastAsia"/>
          <w:sz w:val="32"/>
          <w:szCs w:val="32"/>
        </w:rPr>
        <w:t>中小思政</w:t>
      </w:r>
      <w:proofErr w:type="gramEnd"/>
      <w:r>
        <w:rPr>
          <w:rFonts w:ascii="仿宋_GB2312" w:eastAsia="仿宋_GB2312" w:hint="eastAsia"/>
          <w:sz w:val="32"/>
          <w:szCs w:val="32"/>
        </w:rPr>
        <w:t>一体化实施路径研究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沈阳市中小学校党组织书记</w:t>
      </w:r>
      <w:r>
        <w:rPr>
          <w:rFonts w:ascii="仿宋_GB2312" w:eastAsia="仿宋_GB2312" w:hint="eastAsia"/>
          <w:sz w:val="32"/>
          <w:szCs w:val="32"/>
        </w:rPr>
        <w:t>能力建设研究与探索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新时代加强中小学校意识形态阵地建设研究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中小学校党建工作评价体系研究与实践探索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中小学校党建品牌实践研究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中小学校党组织书记和党务干部队伍建设研究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红色基因融入中小学校入党启蒙教育路径研究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中小学校</w:t>
      </w:r>
      <w:r>
        <w:rPr>
          <w:rFonts w:ascii="仿宋_GB2312" w:eastAsia="仿宋_GB2312" w:hint="eastAsia"/>
          <w:sz w:val="32"/>
          <w:szCs w:val="32"/>
        </w:rPr>
        <w:t>“双培养”机制研究</w:t>
      </w:r>
      <w:bookmarkStart w:id="0" w:name="_GoBack"/>
      <w:bookmarkEnd w:id="0"/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数字技术赋能</w:t>
      </w:r>
      <w:r>
        <w:rPr>
          <w:rFonts w:ascii="仿宋_GB2312" w:eastAsia="仿宋_GB2312" w:hint="eastAsia"/>
          <w:sz w:val="32"/>
          <w:szCs w:val="32"/>
        </w:rPr>
        <w:t>中小学校党员管理研究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党员教育培训工作研究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强化中小学校党建带团建、队建工作研究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中小学校党建工作与教育教学深度融合实践研究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加强民办中小学校党建工作研究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17.</w:t>
      </w:r>
      <w:r>
        <w:rPr>
          <w:rFonts w:ascii="仿宋_GB2312" w:eastAsia="仿宋_GB2312" w:hint="eastAsia"/>
          <w:sz w:val="32"/>
          <w:szCs w:val="32"/>
        </w:rPr>
        <w:t>民办中小学</w:t>
      </w:r>
      <w:r>
        <w:rPr>
          <w:rFonts w:ascii="仿宋_GB2312" w:eastAsia="仿宋_GB2312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党建联系点建设策略与实践研究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贯彻《中国共产党普通高等学校基层组织工作条例》与高校基层党组织设置和工作模式创新研究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19.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高校教师党支部书记“双带头人”培育研究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20.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高校院（系）党政联席会议制度研究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21.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高校基层党组织思想政治工作质量提升研究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22.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新时代高校党建“对标联创”实践研究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23.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新时代做好在大学生中发展党员工作研究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24.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增强基层党支部活力实践路径研究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25.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高校党员思想状况研究</w:t>
      </w:r>
    </w:p>
    <w:p w:rsidR="009D334B" w:rsidRDefault="00B465CE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26.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新形势下高校党员创先争优实践途径研究</w:t>
      </w:r>
    </w:p>
    <w:p w:rsidR="009D334B" w:rsidRDefault="009D334B">
      <w:pPr>
        <w:rPr>
          <w:rFonts w:ascii="仿宋_GB2312" w:eastAsia="仿宋_GB2312"/>
          <w:sz w:val="32"/>
          <w:szCs w:val="32"/>
        </w:rPr>
      </w:pPr>
    </w:p>
    <w:p w:rsidR="009D334B" w:rsidRDefault="009D334B">
      <w:pPr>
        <w:spacing w:line="580" w:lineRule="exact"/>
        <w:ind w:rightChars="-94" w:right="-197" w:firstLineChars="200" w:firstLine="660"/>
        <w:rPr>
          <w:rFonts w:ascii="仿宋_GB2312" w:eastAsia="仿宋_GB2312" w:hAnsi="仿宋" w:cs="仿宋_GB2312"/>
          <w:sz w:val="33"/>
          <w:szCs w:val="33"/>
        </w:rPr>
      </w:pPr>
    </w:p>
    <w:p w:rsidR="009D334B" w:rsidRDefault="009D334B">
      <w:pPr>
        <w:spacing w:line="580" w:lineRule="exact"/>
        <w:ind w:rightChars="-94" w:right="-197" w:firstLineChars="200" w:firstLine="660"/>
        <w:rPr>
          <w:rFonts w:ascii="仿宋_GB2312" w:eastAsia="仿宋_GB2312" w:hAnsi="仿宋" w:cs="仿宋_GB2312"/>
          <w:sz w:val="33"/>
          <w:szCs w:val="33"/>
          <w:highlight w:val="red"/>
        </w:rPr>
      </w:pPr>
    </w:p>
    <w:sectPr w:rsidR="009D334B">
      <w:footerReference w:type="default" r:id="rId8"/>
      <w:pgSz w:w="11906" w:h="16838"/>
      <w:pgMar w:top="2098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CE" w:rsidRDefault="00B465CE">
      <w:r>
        <w:separator/>
      </w:r>
    </w:p>
  </w:endnote>
  <w:endnote w:type="continuationSeparator" w:id="0">
    <w:p w:rsidR="00B465CE" w:rsidRDefault="00B4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9163153-C663-4038-AAC4-EC827B2A2B3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2" w:subsetted="1" w:fontKey="{BFD8A7F1-37C1-4F56-9289-987F28FA7EBD}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34B" w:rsidRDefault="00B465C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0;margin-top:0;width:2in;height:2in;z-index:2;visibility:visible;mso-wrap-style:none;mso-wrap-distance-left:0;mso-wrap-distance-right:0;mso-position-horizontal:center;mso-position-horizontal-relative:margin;mso-position-vertical-relative:text;mso-width-relative:page;mso-height-relative:page" filled="f" stroked="f">
          <v:textbox style="mso-fit-shape-to-text:t" inset="0,0,0,0">
            <w:txbxContent>
              <w:p w:rsidR="009D334B" w:rsidRDefault="00B465CE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A0599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CE" w:rsidRDefault="00B465CE">
      <w:r>
        <w:separator/>
      </w:r>
    </w:p>
  </w:footnote>
  <w:footnote w:type="continuationSeparator" w:id="0">
    <w:p w:rsidR="00B465CE" w:rsidRDefault="00B46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334B"/>
    <w:rsid w:val="009A0599"/>
    <w:rsid w:val="009D334B"/>
    <w:rsid w:val="00B4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2019-04-10T19:16:00Z</cp:lastPrinted>
  <dcterms:created xsi:type="dcterms:W3CDTF">2019-04-10T19:17:00Z</dcterms:created>
  <dcterms:modified xsi:type="dcterms:W3CDTF">2026-04-30T02:03:00Z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98550A1EF8C04A88AE892509F89F34E2_12</vt:lpwstr>
  </property>
  <property fmtid="{D5CDD505-2E9C-101B-9397-08002B2CF9AE}" pid="4" name="KSOTemplateDocerSaveRecord">
    <vt:lpwstr>eyJoZGlkIjoiMjUzMDZkZjI2Y2NlMTg0ODgwMWIzZDc1MTQ1YmU1MTYiLCJ1c2VySWQiOiIzMzA1OTM3NjEifQ==</vt:lpwstr>
  </property>
</Properties>
</file>